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к решению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от      г.   №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2023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spacing w:lineRule="auto" w:line="240" w:before="0" w:after="0"/>
        <w:ind w:left="93" w:hanging="0"/>
        <w:jc w:val="right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spacing w:lineRule="auto" w:line="240" w:before="0" w:after="0"/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9"/>
        <w:gridCol w:w="6030"/>
        <w:gridCol w:w="1466"/>
        <w:gridCol w:w="639"/>
        <w:gridCol w:w="1000"/>
      </w:tblGrid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14160,4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685,6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571,5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571,5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507,5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507,5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38,1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38,1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38,1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38,1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99,0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397,0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297,0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297,0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297,0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297,0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2050,2</w:t>
            </w:r>
          </w:p>
        </w:tc>
      </w:tr>
      <w:tr>
        <w:trPr>
          <w:trHeight w:val="47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67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418,5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418,5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1515,7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1515,7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1465,7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1465,7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5565,7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5560,7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829,0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795,0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4718,7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4678,7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4233,6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400,1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548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843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827,4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827,4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827,4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827,4</w:t>
            </w:r>
          </w:p>
        </w:tc>
      </w:tr>
      <w:tr>
        <w:trPr>
          <w:trHeight w:val="80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4522,5</w:t>
            </w:r>
          </w:p>
        </w:tc>
      </w:tr>
      <w:tr>
        <w:trPr>
          <w:trHeight w:val="38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4020,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4020,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3685,1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310,7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385,9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255,9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255,9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Application>LibreOffice/7.3.5.2$Windows_X86_64 LibreOffice_project/184fe81b8c8c30d8b5082578aee2fed2ea847c01</Application>
  <AppVersion>15.0000</AppVersion>
  <Pages>8</Pages>
  <Words>1653</Words>
  <Characters>13179</Characters>
  <CharactersWithSpaces>14418</CharactersWithSpaces>
  <Paragraphs>511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2022-11-10T10:42:00Z</dcterms:created>
  <dc:creator>user</dc:creator>
  <dc:description/>
  <dc:language>ru-RU</dc:language>
  <cp:lastModifiedBy/>
  <cp:lastPrinted>2022-11-14T16:20:05Z</cp:lastPrinted>
  <dcterms:modified xsi:type="dcterms:W3CDTF">2022-11-14T16:20:55Z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