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44"/>
        <w:gridCol w:w="5102"/>
      </w:tblGrid>
      <w:tr>
        <w:trPr/>
        <w:tc>
          <w:tcPr>
            <w:tcW w:w="4644" w:type="dxa"/>
            <w:tcBorders/>
          </w:tcPr>
          <w:p>
            <w:pPr>
              <w:pStyle w:val="Normal"/>
              <w:widowControl w:val="false"/>
              <w:suppressAutoHyphens w:val="true"/>
              <w:jc w:val="center"/>
              <w:rPr>
                <w:rStyle w:val="Style15"/>
                <w:b w:val="false"/>
                <w:b w:val="false"/>
                <w:color w:val="auto"/>
                <w:sz w:val="28"/>
                <w:szCs w:val="28"/>
                <w:lang w:eastAsia="ar-SA"/>
              </w:rPr>
            </w:pPr>
            <w:r>
              <w:rPr>
                <w:b w:val="false"/>
                <w:color w:val="auto"/>
                <w:sz w:val="28"/>
                <w:szCs w:val="28"/>
                <w:lang w:eastAsia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 w:val="false"/>
              <w:ind w:left="1026" w:hanging="0"/>
              <w:rPr>
                <w:rStyle w:val="Style15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Style w:val="Style15"/>
                <w:b w:val="false"/>
                <w:color w:val="auto"/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ind w:left="1026" w:hanging="0"/>
              <w:rPr>
                <w:rStyle w:val="Style15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Style w:val="Style15"/>
                <w:b w:val="false"/>
                <w:color w:val="auto"/>
                <w:sz w:val="28"/>
                <w:szCs w:val="28"/>
              </w:rPr>
              <w:t>к муниципальной программе Братского сельского поселения Тихорецкого района</w:t>
            </w:r>
          </w:p>
          <w:p>
            <w:pPr>
              <w:pStyle w:val="Normal"/>
              <w:widowControl w:val="false"/>
              <w:ind w:left="1026" w:hanging="0"/>
              <w:rPr>
                <w:rStyle w:val="Style15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Style w:val="Style15"/>
                <w:b w:val="false"/>
                <w:color w:val="auto"/>
                <w:sz w:val="28"/>
                <w:szCs w:val="28"/>
              </w:rPr>
              <w:t>«Развитие гражданского общества» на 2024-2026 годы</w:t>
            </w:r>
          </w:p>
          <w:p>
            <w:pPr>
              <w:pStyle w:val="Normal"/>
              <w:widowControl w:val="false"/>
              <w:ind w:left="1026" w:hanging="0"/>
              <w:rPr>
                <w:rStyle w:val="Style15"/>
                <w:b w:val="false"/>
                <w:b w:val="false"/>
                <w:color w:val="auto"/>
                <w:sz w:val="28"/>
                <w:szCs w:val="28"/>
                <w:lang w:eastAsia="zh-CN"/>
              </w:rPr>
            </w:pPr>
            <w:r>
              <w:rPr>
                <w:rStyle w:val="Style15"/>
                <w:b w:val="false"/>
                <w:color w:val="auto"/>
                <w:sz w:val="28"/>
                <w:szCs w:val="28"/>
                <w:lang w:eastAsia="zh-CN"/>
              </w:rPr>
              <w:t>от  №</w:t>
            </w:r>
          </w:p>
          <w:p>
            <w:pPr>
              <w:pStyle w:val="Normal"/>
              <w:widowControl w:val="false"/>
              <w:ind w:left="1026" w:hanging="0"/>
              <w:rPr>
                <w:rStyle w:val="Style15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b w:val="false"/>
                <w:color w:val="auto"/>
                <w:sz w:val="28"/>
                <w:szCs w:val="28"/>
              </w:rPr>
            </w:r>
            <w:bookmarkStart w:id="0" w:name="sub_1100"/>
            <w:bookmarkStart w:id="1" w:name="sub_1100"/>
            <w:bookmarkEnd w:id="1"/>
          </w:p>
        </w:tc>
      </w:tr>
    </w:tbl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>
      <w:pPr>
        <w:pStyle w:val="Normal"/>
        <w:ind w:firstLine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«Совершенствование механизмов управления развитием </w:t>
      </w:r>
      <w:r>
        <w:rPr>
          <w:sz w:val="28"/>
          <w:szCs w:val="28"/>
        </w:rPr>
        <w:t>в Братском сельском поселении Тихорецкого района» на 2024 - 2026 годы</w:t>
      </w:r>
    </w:p>
    <w:p>
      <w:pPr>
        <w:pStyle w:val="Normal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08"/>
        <w:gridCol w:w="713"/>
        <w:gridCol w:w="5407"/>
      </w:tblGrid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Координатор подпрограммы</w:t>
            </w:r>
          </w:p>
        </w:tc>
        <w:tc>
          <w:tcPr>
            <w:tcW w:w="713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54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</w:rPr>
            </w:pPr>
            <w:r>
              <w:rPr>
                <w:sz w:val="28"/>
              </w:rPr>
              <w:t>администрация Братского сельского поселения Тихорецкого района</w:t>
            </w:r>
          </w:p>
          <w:p>
            <w:pPr>
              <w:pStyle w:val="Normal"/>
              <w:widowControl w:val="false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Участники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</w:r>
          </w:p>
        </w:tc>
        <w:tc>
          <w:tcPr>
            <w:tcW w:w="713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</w:tc>
        <w:tc>
          <w:tcPr>
            <w:tcW w:w="54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</w:rPr>
            </w:pPr>
            <w:r>
              <w:rPr>
                <w:sz w:val="28"/>
              </w:rPr>
              <w:t>администрация Братского сельского поселения Тихорецкого района</w:t>
            </w:r>
          </w:p>
          <w:p>
            <w:pPr>
              <w:pStyle w:val="Normal"/>
              <w:widowControl w:val="false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Цели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3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7" w:type="dxa"/>
            <w:tcBorders/>
            <w:shd w:color="auto" w:fill="auto" w:val="clear"/>
          </w:tcPr>
          <w:p>
            <w:pPr>
              <w:pStyle w:val="Style29"/>
              <w:widowControl w:val="false"/>
              <w:spacing w:before="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системы муниципальной службы в Братском сельском поселении Тихорецкого района</w:t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Задачи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3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7" w:type="dxa"/>
            <w:tcBorders/>
            <w:shd w:color="auto" w:fill="auto" w:val="clear"/>
          </w:tcPr>
          <w:p>
            <w:pPr>
              <w:pStyle w:val="ConsPlusNormal"/>
              <w:widowControl w:val="false"/>
              <w:ind w:left="-33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совершенствование координации  кадровой работы и управления персоналом в администрации</w:t>
            </w:r>
            <w:bookmarkStart w:id="2" w:name="_GoBack"/>
            <w:bookmarkEnd w:id="2"/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органах местной администрации;</w:t>
            </w:r>
          </w:p>
          <w:p>
            <w:pPr>
              <w:pStyle w:val="ConsPlusNormal"/>
              <w:widowControl w:val="false"/>
              <w:ind w:left="-33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целенаправленное профессиональное развитие муниципальных служащих;</w:t>
            </w:r>
          </w:p>
          <w:p>
            <w:pPr>
              <w:pStyle w:val="ConsPlusNormal"/>
              <w:widowControl w:val="false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повышение профессиональной заинтересованности муниципальных служащих в прохождении  муниципальной службы;</w:t>
            </w:r>
          </w:p>
          <w:p>
            <w:pPr>
              <w:pStyle w:val="ConsPlusNormal"/>
              <w:widowControl w:val="false"/>
              <w:ind w:left="-33" w:hanging="0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совершенствование базы информационного и аналитического обеспечения кадровых процессов</w:t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Перечень целевых показателей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</w:tc>
        <w:tc>
          <w:tcPr>
            <w:tcW w:w="713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54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муниципальных служащих, обученных по программам дополнительного профессионального образования;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муниципальных служащих администрации поселения, принявших участие в тематических семинарах, совещаниях по вопросам исполнения полномочий органов местного самоуправления;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количества протестов, представлений, предписаний  контролирующих органов, прокуратуры по исполнению полномочий органов местного самоуправления муниципальными служащими;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обращений граждан по решению вопросов местного значения</w:t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Этапы и сроки реализации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3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2024 – 2026 годы, этапы реализации не предусмотрены</w:t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Объемы и источники финансирования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3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7" w:type="dxa"/>
            <w:tcBorders/>
            <w:shd w:color="auto" w:fill="auto" w:val="clear"/>
          </w:tcPr>
          <w:p>
            <w:pPr>
              <w:pStyle w:val="Style38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общий объем финансирования подпрограммы из средств местного бюджета составляет 450,0 тыс. рублей, из них по годам:</w:t>
            </w:r>
          </w:p>
          <w:p>
            <w:pPr>
              <w:pStyle w:val="Style38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-  150,0 тыс.рублей</w:t>
            </w:r>
          </w:p>
          <w:p>
            <w:pPr>
              <w:pStyle w:val="Style38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– 150,0 тыс. рублей</w:t>
            </w:r>
          </w:p>
          <w:p>
            <w:pPr>
              <w:pStyle w:val="Style38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-  150,0 тыс. рублей</w:t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</w:tc>
        <w:tc>
          <w:tcPr>
            <w:tcW w:w="713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1"/>
        <w:rPr>
          <w:b w:val="false"/>
          <w:b w:val="false"/>
          <w:szCs w:val="28"/>
        </w:rPr>
      </w:pPr>
      <w:r>
        <w:rPr>
          <w:b w:val="false"/>
          <w:szCs w:val="28"/>
        </w:rPr>
        <w:t xml:space="preserve">1. Цели, задачи и целевые показатели достижения целей и решения задач, сроки и этапы реализации подпрограммы </w:t>
      </w:r>
    </w:p>
    <w:p>
      <w:pPr>
        <w:pStyle w:val="Normal"/>
        <w:rPr/>
      </w:pPr>
      <w:r>
        <w:rPr/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совершенствование системы муниципальной службы в Братском сельском поселении Тихорецкого района.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предполагается решение следующих задач:</w:t>
      </w:r>
    </w:p>
    <w:p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целенаправленное профессиональное развитие муниципальных служащих;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базы информационного и аналитического обеспечения кадровых процессов: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современных условий для обеспечения развития муниципальной службы.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реализации подпрограммы приведены в пункте 5 таблицы № 1 муниципальной программы Братского сельского поселения Тихорецкого района «Развитие гражданского общества» на 2024-2026 годы.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подпрограммы: 2024 - 2026 годы.</w:t>
      </w:r>
    </w:p>
    <w:p>
      <w:pPr>
        <w:sectPr>
          <w:headerReference w:type="default" r:id="rId2"/>
          <w:type w:val="nextPage"/>
          <w:pgSz w:w="11906" w:h="16838"/>
          <w:pgMar w:left="1701" w:right="567" w:gutter="0" w:header="720" w:top="1134" w:footer="0" w:bottom="1134"/>
          <w:pgNumType w:fmt="decimal"/>
          <w:formProt w:val="false"/>
          <w:titlePg/>
          <w:textDirection w:val="lrTb"/>
          <w:docGrid w:type="default" w:linePitch="326" w:charSpace="0"/>
        </w:sect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1"/>
        <w:rPr>
          <w:b w:val="false"/>
          <w:b w:val="false"/>
          <w:szCs w:val="28"/>
        </w:rPr>
      </w:pPr>
      <w:r>
        <w:rPr>
          <w:b w:val="false"/>
          <w:szCs w:val="28"/>
        </w:rPr>
        <w:t>2.ПЕРЕЧЕНЬ</w:t>
      </w:r>
    </w:p>
    <w:p>
      <w:pPr>
        <w:pStyle w:val="Normal"/>
        <w:ind w:firstLine="36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мероприятий подпрограммы</w:t>
      </w:r>
      <w:r>
        <w:rPr>
          <w:color w:val="000000"/>
          <w:sz w:val="28"/>
          <w:szCs w:val="28"/>
        </w:rPr>
        <w:t>«Совершенствование механизмов управления развитием</w:t>
      </w:r>
      <w:r>
        <w:rPr>
          <w:sz w:val="28"/>
          <w:szCs w:val="28"/>
        </w:rPr>
        <w:t xml:space="preserve"> в Братском сельском поселении Тихорецкого района» на 2024 - 2026 годы</w:t>
      </w:r>
    </w:p>
    <w:p>
      <w:pPr>
        <w:pStyle w:val="Normal"/>
        <w:rPr/>
      </w:pPr>
      <w:r>
        <w:rPr/>
      </w:r>
    </w:p>
    <w:tbl>
      <w:tblPr>
        <w:tblW w:w="1445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896"/>
        <w:gridCol w:w="2497"/>
        <w:gridCol w:w="1002"/>
        <w:gridCol w:w="1417"/>
        <w:gridCol w:w="992"/>
        <w:gridCol w:w="853"/>
        <w:gridCol w:w="850"/>
        <w:gridCol w:w="996"/>
        <w:gridCol w:w="853"/>
        <w:gridCol w:w="1987"/>
        <w:gridCol w:w="2114"/>
      </w:tblGrid>
      <w:tr>
        <w:trPr>
          <w:trHeight w:val="320" w:hRule="atLeast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мероприятия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Статус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Годы реализации</w:t>
            </w:r>
          </w:p>
        </w:tc>
        <w:tc>
          <w:tcPr>
            <w:tcW w:w="4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 том числе по годам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117" w:hanging="0"/>
              <w:jc w:val="center"/>
              <w:rPr/>
            </w:pPr>
            <w:r>
              <w:rPr/>
              <w:t>Непосредственный результат реализации мероприятия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Муниципальный заказчик, главный распорядитель (распорядитель) бюджетных средств, исполнитель</w:t>
            </w:r>
          </w:p>
        </w:tc>
      </w:tr>
      <w:tr>
        <w:trPr>
          <w:trHeight w:val="780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краевой бюджет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местный бюджет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внебюджетные источники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</w:t>
            </w:r>
          </w:p>
        </w:tc>
      </w:tr>
      <w:tr>
        <w:trPr>
          <w:trHeight w:val="559" w:hRule="atLeast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Цель</w:t>
            </w:r>
          </w:p>
        </w:tc>
        <w:tc>
          <w:tcPr>
            <w:tcW w:w="11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Совершенствование системы муниципальной службы в Братском сельском поселении Тихорецкого района</w:t>
            </w:r>
          </w:p>
        </w:tc>
      </w:tr>
      <w:tr>
        <w:trPr>
          <w:trHeight w:val="562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Задача 1.</w:t>
            </w:r>
          </w:p>
        </w:tc>
        <w:tc>
          <w:tcPr>
            <w:tcW w:w="11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Целенаправленное профессиональное развитие муниципальных служащих</w:t>
            </w:r>
          </w:p>
        </w:tc>
      </w:tr>
      <w:tr>
        <w:trPr>
          <w:trHeight w:val="450" w:hRule="atLeast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9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Профессиональная подготовка  муниципальных служащих на курсах повышения квалификации, в том числе участие в обучающих семинарах.</w:t>
            </w:r>
          </w:p>
          <w:p>
            <w:pPr>
              <w:pStyle w:val="Style39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Курсы по охране труда. Работы по охране труда (специальная оценка условий труда).</w:t>
            </w:r>
          </w:p>
          <w:p>
            <w:pPr>
              <w:pStyle w:val="Style39"/>
              <w:widowControl w:val="false"/>
              <w:rPr/>
            </w:pPr>
            <w:r>
              <w:rPr>
                <w:rFonts w:cs="Times New Roman" w:ascii="Times New Roman" w:hAnsi="Times New Roman"/>
              </w:rPr>
              <w:t>Диспансеризация работников администрации Братского сельского поселения Тихорецкого района.</w:t>
            </w:r>
          </w:p>
          <w:p>
            <w:pPr>
              <w:pStyle w:val="Normal"/>
              <w:widowControl w:val="false"/>
              <w:rPr/>
            </w:pPr>
            <w:r>
              <w:rPr/>
              <w:t>Уточнение записей в похозяйственных книгах и учет скота в хозяйствах граждан по состоянию на 1 июля на территории Братского сельского поселения  Тихорецкого района (вознаграждение, НДФЛ и страховые взносы в ПФР и ФОМС переписчикам)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  <w:t>повышение эффективности муниципальной службы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>
          <w:trHeight w:val="480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2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Задача2.</w:t>
            </w:r>
          </w:p>
        </w:tc>
        <w:tc>
          <w:tcPr>
            <w:tcW w:w="11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Совершенствование базы информационного и аналитического обеспечения кадровых процессов</w:t>
            </w:r>
          </w:p>
        </w:tc>
      </w:tr>
      <w:tr>
        <w:trPr>
          <w:trHeight w:val="429" w:hRule="atLeast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2.1.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подписки на литературу по муниципальной службе и управлению персоналом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повышение эффективности муниципальной службы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>
          <w:trHeight w:val="421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414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419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9" w:hRule="atLeast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Задача 3.</w:t>
            </w:r>
          </w:p>
        </w:tc>
        <w:tc>
          <w:tcPr>
            <w:tcW w:w="11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Создание условий для осуществления текущей деятельности муниципальных служащих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69" w:hRule="atLeast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3.1.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Приобретение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бумаги в целях обеспечения бухгалтерского обслуживания финансово-хозяйственной деятельности муниципальных учреждений, изготовление бланков решений, постановлений, распоряжений, приобретение канцелярских принадлежностей (файлы, папки, скоросшиватели, ручки и т.д.),приобретение марок, конвертов, услуги по обработке почтовых отправлений. Изготовление печати круглой, штампа служебного, приобретение хоз. товаров, стеллажей для документов, замков врезных, техническое обслуживание кондиционеров, приобретение автошин, дисков и штуцера, техническое обслуживание и ремонт автомобиля, изготовление свидетельства 2А-7 (переплетный картон, бум.-вин в аасорт., бум.бел.офсетн)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повышение эффективности муниципальной службы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>
          <w:trHeight w:val="67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88" w:leader="none"/>
              </w:tabs>
              <w:rPr/>
            </w:pPr>
            <w:r>
              <w:rPr/>
              <w:tab/>
              <w:t>77,0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7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7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231,0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231,0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9" w:hRule="atLeast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Итого по подпрограмме: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7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7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7" w:hRule="atLeast"/>
        </w:trPr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450,0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450,0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1701" w:right="567" w:gutter="0" w:header="720" w:top="1134" w:footer="0" w:bottom="1134"/>
          <w:pgNumType w:fmt="decimal"/>
          <w:formProt w:val="false"/>
          <w:textDirection w:val="lrTb"/>
          <w:docGrid w:type="default" w:linePitch="326" w:charSpace="0"/>
        </w:sectPr>
      </w:pPr>
    </w:p>
    <w:p>
      <w:pPr>
        <w:pStyle w:val="1"/>
        <w:rPr>
          <w:b w:val="false"/>
          <w:b w:val="false"/>
          <w:szCs w:val="28"/>
        </w:rPr>
      </w:pPr>
      <w:bookmarkStart w:id="3" w:name="sub_50400"/>
      <w:r>
        <w:rPr>
          <w:b w:val="false"/>
          <w:szCs w:val="28"/>
        </w:rPr>
        <w:t>3. Обоснование ресурсного обеспечения подпрограммы</w:t>
      </w:r>
      <w:bookmarkEnd w:id="3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предусматривается за счет средств бюджета Братского сельского поселения Тихорецкого района. 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8"/>
        <w:gridCol w:w="1789"/>
        <w:gridCol w:w="1583"/>
        <w:gridCol w:w="1354"/>
        <w:gridCol w:w="1370"/>
        <w:gridCol w:w="1298"/>
      </w:tblGrid>
      <w:tr>
        <w:trPr/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 финансирования, тыс.рублей</w:t>
            </w:r>
          </w:p>
        </w:tc>
      </w:tr>
      <w:tr>
        <w:trPr/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>
        <w:trPr/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7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федеральный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краевой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тные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>
        <w:trPr/>
        <w:tc>
          <w:tcPr>
            <w:tcW w:w="9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«Совершенствование механизмов управления развитием в Братском сельском поселении Тихорецкого района» на 2024 – 2026 годы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2024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Всего: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9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Общий объем финансирования по муниципальной программе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 по муниципальной программе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подпрограммы из средств бюджета Братского сельского поселения Тихорецкого района составит 450,0 ыс. рублей, в том числе:</w:t>
      </w:r>
    </w:p>
    <w:p>
      <w:pPr>
        <w:pStyle w:val="Style38"/>
        <w:ind w:left="851"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2024 год – 150,0 тыс. рублей</w:t>
      </w:r>
    </w:p>
    <w:p>
      <w:pPr>
        <w:pStyle w:val="Style38"/>
        <w:ind w:left="851"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2025 год – 150,0 тыс. рублей</w:t>
      </w:r>
    </w:p>
    <w:p>
      <w:pPr>
        <w:pStyle w:val="Style38"/>
        <w:ind w:left="851"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2026 год – 150,0 тыс. рублей</w:t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>
      <w:pPr>
        <w:pStyle w:val="1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Normal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4.Механизм реализации подпрограммы</w:t>
      </w:r>
    </w:p>
    <w:p>
      <w:pPr>
        <w:pStyle w:val="BodyTextIndent2"/>
        <w:ind w:hanging="0"/>
        <w:jc w:val="both"/>
        <w:rPr/>
      </w:pPr>
      <w:r>
        <w:rPr/>
        <w:tab/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администрация Братского сельского поселения Тихорецкого района. 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закупку товаров, работ, услуг для муниципальных нужд за счет средств бюджета Братского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муниципальных нужд.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  <w:szCs w:val="28"/>
        </w:rPr>
        <w:t>Контроль за реализацией подпрограммы осуществляет администрация Братского сельского поселения Тихорецкого района, Совет Братского сельского поселения Тихорецкого района.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</w:rPr>
        <w:t>Исполняющий обязанности главы</w:t>
      </w:r>
      <w:r>
        <w:rPr>
          <w:sz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Братского сельского поселения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      </w:t>
      </w:r>
      <w:r>
        <w:rPr>
          <w:sz w:val="28"/>
          <w:szCs w:val="28"/>
        </w:rPr>
        <w:t>А.П.Матвиец</w:t>
      </w:r>
    </w:p>
    <w:sectPr>
      <w:headerReference w:type="default" r:id="rId4"/>
      <w:type w:val="nextPage"/>
      <w:pgSz w:w="11906" w:h="16838"/>
      <w:pgMar w:left="1701" w:right="567" w:gutter="0" w:header="72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77274094"/>
    </w:sdtPr>
    <w:sdtContent>
      <w:p>
        <w:pPr>
          <w:pStyle w:val="Style3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34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07445713"/>
    </w:sdtPr>
    <w:sdtContent>
      <w:p>
        <w:pPr>
          <w:pStyle w:val="Style3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  <w:p>
        <w:pPr>
          <w:pStyle w:val="Style34"/>
          <w:rPr/>
        </w:pPr>
        <w:r>
          <w:rPr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uiPriority="99" w:semiHidden="0" w:unhideWhenUsed="0" w:qFormat="1"/>
    <w:lsdException w:name="heading 2" w:uiPriority="99" w:semiHidden="0" w:unhideWhenUsed="0" w:qFormat="1"/>
    <w:lsdException w:name="heading 3" w:uiPriority="99" w:semiHidden="0" w:unhideWhenUsed="0" w:qFormat="1"/>
    <w:lsdException w:name="heading 4" w:uiPriority="99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uiPriority="9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041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9"/>
    <w:qFormat/>
    <w:rsid w:val="007416a5"/>
    <w:pPr>
      <w:keepNext w:val="true"/>
      <w:jc w:val="center"/>
      <w:outlineLvl w:val="0"/>
    </w:pPr>
    <w:rPr>
      <w:b/>
      <w:sz w:val="28"/>
    </w:rPr>
  </w:style>
  <w:style w:type="paragraph" w:styleId="2">
    <w:name w:val="Heading 2"/>
    <w:basedOn w:val="Normal"/>
    <w:next w:val="Normal"/>
    <w:link w:val="21"/>
    <w:uiPriority w:val="99"/>
    <w:qFormat/>
    <w:rsid w:val="00d62784"/>
    <w:pPr>
      <w:keepNext w:val="true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1"/>
    <w:uiPriority w:val="99"/>
    <w:qFormat/>
    <w:rsid w:val="00a81c12"/>
    <w:pPr>
      <w:keepNext w:val="true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Normal"/>
    <w:link w:val="41"/>
    <w:uiPriority w:val="99"/>
    <w:qFormat/>
    <w:rsid w:val="001e7a06"/>
    <w:pPr>
      <w:keepNext w:val="false"/>
      <w:widowControl w:val="false"/>
      <w:spacing w:before="0" w:after="0"/>
      <w:jc w:val="both"/>
      <w:outlineLvl w:val="3"/>
    </w:pPr>
    <w:rPr>
      <w:b w:val="false"/>
      <w:bCs w:val="false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9"/>
    <w:qFormat/>
    <w:rsid w:val="001e7a06"/>
    <w:rPr>
      <w:b/>
      <w:sz w:val="28"/>
      <w:szCs w:val="24"/>
    </w:rPr>
  </w:style>
  <w:style w:type="character" w:styleId="21" w:customStyle="1">
    <w:name w:val="Заголовок 2 Знак"/>
    <w:uiPriority w:val="99"/>
    <w:qFormat/>
    <w:rsid w:val="001e7a06"/>
    <w:rPr>
      <w:rFonts w:ascii="Arial" w:hAnsi="Arial" w:cs="Arial"/>
      <w:b/>
      <w:bCs/>
      <w:i/>
      <w:iCs/>
      <w:sz w:val="28"/>
      <w:szCs w:val="28"/>
    </w:rPr>
  </w:style>
  <w:style w:type="character" w:styleId="31" w:customStyle="1">
    <w:name w:val="Заголовок 3 Знак"/>
    <w:uiPriority w:val="99"/>
    <w:qFormat/>
    <w:rsid w:val="001e7a06"/>
    <w:rPr>
      <w:rFonts w:ascii="Arial" w:hAnsi="Arial" w:cs="Arial"/>
      <w:b/>
      <w:bCs/>
      <w:sz w:val="26"/>
      <w:szCs w:val="26"/>
    </w:rPr>
  </w:style>
  <w:style w:type="character" w:styleId="Style10" w:customStyle="1">
    <w:name w:val="Верхний колонтитул Знак"/>
    <w:uiPriority w:val="99"/>
    <w:qFormat/>
    <w:rsid w:val="000c7a69"/>
    <w:rPr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7825d0"/>
    <w:rPr/>
  </w:style>
  <w:style w:type="character" w:styleId="Style11" w:customStyle="1">
    <w:name w:val="Нижний колонтитул Знак"/>
    <w:uiPriority w:val="99"/>
    <w:qFormat/>
    <w:rsid w:val="001e7a06"/>
    <w:rPr>
      <w:sz w:val="24"/>
      <w:szCs w:val="24"/>
    </w:rPr>
  </w:style>
  <w:style w:type="character" w:styleId="Style12" w:customStyle="1">
    <w:name w:val="Основной текст Знак"/>
    <w:qFormat/>
    <w:rsid w:val="001e7a06"/>
    <w:rPr>
      <w:sz w:val="24"/>
      <w:szCs w:val="24"/>
    </w:rPr>
  </w:style>
  <w:style w:type="character" w:styleId="Style13">
    <w:name w:val="Выделение"/>
    <w:qFormat/>
    <w:rsid w:val="008538e3"/>
    <w:rPr>
      <w:i/>
      <w:iCs/>
    </w:rPr>
  </w:style>
  <w:style w:type="character" w:styleId="Style14" w:customStyle="1">
    <w:name w:val="Гипертекстовая ссылка"/>
    <w:uiPriority w:val="99"/>
    <w:qFormat/>
    <w:rsid w:val="00d66896"/>
    <w:rPr>
      <w:b w:val="false"/>
      <w:bCs w:val="false"/>
      <w:color w:val="106BBE"/>
    </w:rPr>
  </w:style>
  <w:style w:type="character" w:styleId="41" w:customStyle="1">
    <w:name w:val="Заголовок 4 Знак"/>
    <w:uiPriority w:val="99"/>
    <w:qFormat/>
    <w:rsid w:val="001e7a06"/>
    <w:rPr>
      <w:rFonts w:ascii="Arial" w:hAnsi="Arial"/>
      <w:sz w:val="24"/>
      <w:szCs w:val="24"/>
    </w:rPr>
  </w:style>
  <w:style w:type="character" w:styleId="Style15" w:customStyle="1">
    <w:name w:val="Цветовое выделение"/>
    <w:uiPriority w:val="99"/>
    <w:qFormat/>
    <w:rsid w:val="001e7a06"/>
    <w:rPr>
      <w:b/>
      <w:color w:val="000080"/>
    </w:rPr>
  </w:style>
  <w:style w:type="character" w:styleId="Style16" w:customStyle="1">
    <w:name w:val="Активная гипертекстовая ссылка"/>
    <w:uiPriority w:val="99"/>
    <w:qFormat/>
    <w:rsid w:val="001e7a06"/>
    <w:rPr>
      <w:color w:val="008000"/>
      <w:u w:val="single"/>
    </w:rPr>
  </w:style>
  <w:style w:type="character" w:styleId="Style17" w:customStyle="1">
    <w:name w:val="Заголовок своего сообщения"/>
    <w:uiPriority w:val="99"/>
    <w:qFormat/>
    <w:rsid w:val="001e7a06"/>
    <w:rPr>
      <w:color w:val="000080"/>
    </w:rPr>
  </w:style>
  <w:style w:type="character" w:styleId="Style18" w:customStyle="1">
    <w:name w:val="Заголовок чужого сообщения"/>
    <w:uiPriority w:val="99"/>
    <w:qFormat/>
    <w:rsid w:val="001e7a06"/>
    <w:rPr>
      <w:color w:val="FF0000"/>
    </w:rPr>
  </w:style>
  <w:style w:type="character" w:styleId="Style19" w:customStyle="1">
    <w:name w:val="Найденные слова"/>
    <w:uiPriority w:val="99"/>
    <w:qFormat/>
    <w:rsid w:val="001e7a06"/>
    <w:rPr>
      <w:color w:val="000080"/>
    </w:rPr>
  </w:style>
  <w:style w:type="character" w:styleId="Style20" w:customStyle="1">
    <w:name w:val="Не вступил в силу"/>
    <w:uiPriority w:val="99"/>
    <w:qFormat/>
    <w:rsid w:val="001e7a06"/>
    <w:rPr>
      <w:color w:val="008080"/>
    </w:rPr>
  </w:style>
  <w:style w:type="character" w:styleId="Style21" w:customStyle="1">
    <w:name w:val="Опечатки"/>
    <w:uiPriority w:val="99"/>
    <w:qFormat/>
    <w:rsid w:val="001e7a06"/>
    <w:rPr>
      <w:color w:val="FF0000"/>
    </w:rPr>
  </w:style>
  <w:style w:type="character" w:styleId="Style22" w:customStyle="1">
    <w:name w:val="Продолжение ссылки"/>
    <w:uiPriority w:val="99"/>
    <w:qFormat/>
    <w:rsid w:val="001e7a06"/>
    <w:rPr/>
  </w:style>
  <w:style w:type="character" w:styleId="Style23" w:customStyle="1">
    <w:name w:val="Сравнение редакций"/>
    <w:uiPriority w:val="99"/>
    <w:qFormat/>
    <w:rsid w:val="001e7a06"/>
    <w:rPr>
      <w:color w:val="000080"/>
    </w:rPr>
  </w:style>
  <w:style w:type="character" w:styleId="Style24" w:customStyle="1">
    <w:name w:val="Сравнение редакций. Добавленный фрагмент"/>
    <w:uiPriority w:val="99"/>
    <w:qFormat/>
    <w:rsid w:val="001e7a06"/>
    <w:rPr>
      <w:color w:val="0000FF"/>
    </w:rPr>
  </w:style>
  <w:style w:type="character" w:styleId="Style25" w:customStyle="1">
    <w:name w:val="Сравнение редакций. Удаленный фрагмент"/>
    <w:uiPriority w:val="99"/>
    <w:qFormat/>
    <w:rsid w:val="001e7a06"/>
    <w:rPr>
      <w:strike/>
      <w:color w:val="808000"/>
    </w:rPr>
  </w:style>
  <w:style w:type="character" w:styleId="Style26" w:customStyle="1">
    <w:name w:val="Утратил силу"/>
    <w:uiPriority w:val="99"/>
    <w:qFormat/>
    <w:rsid w:val="001e7a06"/>
    <w:rPr>
      <w:strike/>
      <w:color w:val="808000"/>
    </w:rPr>
  </w:style>
  <w:style w:type="character" w:styleId="Style27" w:customStyle="1">
    <w:name w:val="Текст выноски Знак"/>
    <w:link w:val="BalloonText"/>
    <w:uiPriority w:val="99"/>
    <w:qFormat/>
    <w:rsid w:val="001e7a06"/>
    <w:rPr>
      <w:rFonts w:ascii="Tahoma" w:hAnsi="Tahoma" w:cs="Tahoma"/>
      <w:sz w:val="16"/>
      <w:szCs w:val="16"/>
    </w:rPr>
  </w:style>
  <w:style w:type="character" w:styleId="Actioncarnamesem" w:customStyle="1">
    <w:name w:val="action_car_name_sem"/>
    <w:basedOn w:val="DefaultParagraphFont"/>
    <w:qFormat/>
    <w:rsid w:val="002123bd"/>
    <w:rPr/>
  </w:style>
  <w:style w:type="paragraph" w:styleId="Style28" w:customStyle="1">
    <w:name w:val="Заголовок"/>
    <w:basedOn w:val="Style41"/>
    <w:next w:val="Normal"/>
    <w:uiPriority w:val="99"/>
    <w:qFormat/>
    <w:rsid w:val="001e7a06"/>
    <w:pPr/>
    <w:rPr>
      <w:rFonts w:ascii="Arial" w:hAnsi="Arial" w:cs="Times New Roman"/>
      <w:b/>
      <w:bCs/>
      <w:color w:val="C0C0C0"/>
    </w:rPr>
  </w:style>
  <w:style w:type="paragraph" w:styleId="Style29">
    <w:name w:val="Body Text"/>
    <w:basedOn w:val="Normal"/>
    <w:link w:val="Style12"/>
    <w:rsid w:val="00a81c12"/>
    <w:pPr>
      <w:spacing w:before="0" w:after="120"/>
    </w:pPr>
    <w:rPr/>
  </w:style>
  <w:style w:type="paragraph" w:styleId="Style30">
    <w:name w:val="List"/>
    <w:basedOn w:val="Style29"/>
    <w:pPr/>
    <w:rPr>
      <w:rFonts w:cs="Ari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odyTextIndent2">
    <w:name w:val="Body Text Indent 2"/>
    <w:basedOn w:val="Normal"/>
    <w:qFormat/>
    <w:rsid w:val="007d0414"/>
    <w:pPr>
      <w:ind w:firstLine="708"/>
    </w:pPr>
    <w:rPr>
      <w:sz w:val="28"/>
    </w:rPr>
  </w:style>
  <w:style w:type="paragraph" w:styleId="BlockText">
    <w:name w:val="Block Text"/>
    <w:basedOn w:val="Normal"/>
    <w:qFormat/>
    <w:rsid w:val="007416a5"/>
    <w:pPr>
      <w:ind w:left="-57" w:right="-57" w:hanging="0"/>
      <w:jc w:val="center"/>
    </w:pPr>
    <w:rPr>
      <w:b/>
      <w:sz w:val="28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0"/>
    <w:uiPriority w:val="99"/>
    <w:rsid w:val="007825d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1"/>
    <w:uiPriority w:val="99"/>
    <w:rsid w:val="004a646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Title"/>
    <w:basedOn w:val="Normal"/>
    <w:qFormat/>
    <w:rsid w:val="00d62784"/>
    <w:pPr>
      <w:ind w:left="5580" w:hanging="0"/>
      <w:jc w:val="center"/>
    </w:pPr>
    <w:rPr>
      <w:sz w:val="28"/>
    </w:rPr>
  </w:style>
  <w:style w:type="paragraph" w:styleId="Style37">
    <w:name w:val="Body Text Indent"/>
    <w:basedOn w:val="Normal"/>
    <w:rsid w:val="00717765"/>
    <w:pPr>
      <w:spacing w:before="0" w:after="120"/>
      <w:ind w:left="283" w:hanging="0"/>
    </w:pPr>
    <w:rPr/>
  </w:style>
  <w:style w:type="paragraph" w:styleId="ConsPlusCell" w:customStyle="1">
    <w:name w:val="ConsPlusCell"/>
    <w:uiPriority w:val="99"/>
    <w:qFormat/>
    <w:rsid w:val="005e0ba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75147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38" w:customStyle="1">
    <w:name w:val="Нормальный (таблица)"/>
    <w:basedOn w:val="Normal"/>
    <w:next w:val="Normal"/>
    <w:uiPriority w:val="99"/>
    <w:qFormat/>
    <w:rsid w:val="00a17dc4"/>
    <w:pPr>
      <w:widowControl w:val="false"/>
      <w:jc w:val="both"/>
    </w:pPr>
    <w:rPr>
      <w:rFonts w:ascii="Arial" w:hAnsi="Arial" w:cs="Arial"/>
    </w:rPr>
  </w:style>
  <w:style w:type="paragraph" w:styleId="Style39" w:customStyle="1">
    <w:name w:val="Прижатый влево"/>
    <w:basedOn w:val="Normal"/>
    <w:next w:val="Normal"/>
    <w:uiPriority w:val="99"/>
    <w:qFormat/>
    <w:rsid w:val="007921b2"/>
    <w:pPr>
      <w:widowControl w:val="false"/>
    </w:pPr>
    <w:rPr>
      <w:rFonts w:ascii="Arial" w:hAnsi="Arial" w:cs="Arial"/>
    </w:rPr>
  </w:style>
  <w:style w:type="paragraph" w:styleId="Style40" w:customStyle="1">
    <w:name w:val="Интерактивный заголовок"/>
    <w:basedOn w:val="Style28"/>
    <w:next w:val="Normal"/>
    <w:uiPriority w:val="99"/>
    <w:qFormat/>
    <w:rsid w:val="001e7a06"/>
    <w:pPr/>
    <w:rPr/>
  </w:style>
  <w:style w:type="paragraph" w:styleId="Style41" w:customStyle="1">
    <w:name w:val="Основное меню (преемственное)"/>
    <w:basedOn w:val="Normal"/>
    <w:next w:val="Normal"/>
    <w:uiPriority w:val="99"/>
    <w:qFormat/>
    <w:rsid w:val="001e7a06"/>
    <w:pPr>
      <w:widowControl w:val="false"/>
      <w:jc w:val="both"/>
    </w:pPr>
    <w:rPr>
      <w:rFonts w:ascii="Verdana" w:hAnsi="Verdana" w:cs="Verdana"/>
    </w:rPr>
  </w:style>
  <w:style w:type="paragraph" w:styleId="BalloonText">
    <w:name w:val="Balloon Text"/>
    <w:basedOn w:val="Normal"/>
    <w:link w:val="Style27"/>
    <w:uiPriority w:val="99"/>
    <w:unhideWhenUsed/>
    <w:qFormat/>
    <w:rsid w:val="001e7a06"/>
    <w:pPr>
      <w:widowControl w:val="false"/>
    </w:pPr>
    <w:rPr>
      <w:rFonts w:ascii="Tahoma" w:hAnsi="Tahoma"/>
      <w:sz w:val="16"/>
      <w:szCs w:val="16"/>
    </w:rPr>
  </w:style>
  <w:style w:type="paragraph" w:styleId="ConsPlusNormal" w:customStyle="1">
    <w:name w:val="ConsPlusNormal"/>
    <w:qFormat/>
    <w:rsid w:val="00b63632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42" w:customStyle="1">
    <w:name w:val="заголовок 4"/>
    <w:basedOn w:val="Normal"/>
    <w:next w:val="Normal"/>
    <w:qFormat/>
    <w:rsid w:val="00b63632"/>
    <w:pPr>
      <w:keepNext w:val="true"/>
      <w:ind w:firstLine="709"/>
      <w:jc w:val="center"/>
      <w:outlineLvl w:val="3"/>
    </w:pPr>
    <w:rPr>
      <w:sz w:val="26"/>
      <w:szCs w:val="26"/>
    </w:rPr>
  </w:style>
  <w:style w:type="paragraph" w:styleId="Style42">
    <w:name w:val="Содержимое таблицы"/>
    <w:basedOn w:val="Normal"/>
    <w:qFormat/>
    <w:pPr>
      <w:widowControl w:val="false"/>
      <w:suppressLineNumbers/>
    </w:pPr>
    <w:rPr/>
  </w:style>
  <w:style w:type="paragraph" w:styleId="Style43">
    <w:name w:val="Заголовок таблицы"/>
    <w:basedOn w:val="Style4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7d041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FA3B-C281-4BD3-8D2D-60E8233AE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LibreOffice/7.3.5.2$Windows_X86_64 LibreOffice_project/184fe81b8c8c30d8b5082578aee2fed2ea847c01</Application>
  <AppVersion>15.0000</AppVersion>
  <Pages>8</Pages>
  <Words>959</Words>
  <Characters>7111</Characters>
  <CharactersWithSpaces>7898</CharactersWithSpaces>
  <Paragraphs>277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2021-06-25T11:44:00Z</dcterms:created>
  <dc:creator>USER</dc:creator>
  <dc:description/>
  <dc:language>ru-RU</dc:language>
  <cp:lastModifiedBy/>
  <cp:lastPrinted>2021-03-02T05:14:00Z</cp:lastPrinted>
  <dcterms:modified xsi:type="dcterms:W3CDTF">2023-08-08T16:06:11Z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