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4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22"/>
        <w:gridCol w:w="5314"/>
      </w:tblGrid>
      <w:tr>
        <w:trPr>
          <w:trHeight w:val="273" w:hRule="atLeast"/>
        </w:trPr>
        <w:tc>
          <w:tcPr>
            <w:tcW w:w="932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31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решению Совета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 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26.12.2023 г.  № 159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«Приложение 5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УТВЕРЖДЕНА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решением Совета Братского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14.12.2022 г. № 123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(в редакции решения Совета Братского сельского поселения 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26.12.2023 г.  № 159)</w:t>
            </w:r>
          </w:p>
        </w:tc>
      </w:tr>
    </w:tbl>
    <w:p>
      <w:pPr>
        <w:pStyle w:val="Normal"/>
        <w:tabs>
          <w:tab w:val="clear" w:pos="708"/>
          <w:tab w:val="left" w:pos="9360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tabs>
          <w:tab w:val="clear" w:pos="708"/>
          <w:tab w:val="left" w:pos="9360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ВЕДОМСТВЕННАЯ СТРУКТУРА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расходов бюджета поселения на 2023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145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80"/>
        <w:gridCol w:w="6739"/>
        <w:gridCol w:w="1329"/>
        <w:gridCol w:w="900"/>
        <w:gridCol w:w="1304"/>
        <w:gridCol w:w="1504"/>
        <w:gridCol w:w="1024"/>
        <w:gridCol w:w="1058"/>
      </w:tblGrid>
      <w:tr>
        <w:trPr>
          <w:trHeight w:val="539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Наименование расходов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Ведомство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Раздел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Подраздел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Целевая статья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Вид расхода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Сумма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ВСЕГО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13785,9</w:t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Совет Братского сельского поселения Тихорецкого района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1.1.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06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5400000000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5420000000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передаваемых полномочий  на осуществление внешнего муниципального контроля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Администрация Братского сельского поселения Тихорецкого района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23778,9</w:t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2.1</w:t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5277,0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752,9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5000000000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752,9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752,9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5010000190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752,9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5010000190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752,9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3792,9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3792,9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3789,1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3789,1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3386,7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395,8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6,6</w:t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Административные комиссии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5260000000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5260060190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5260060190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общегосударственные вопросы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731,2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2100000000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298,0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общественных инициатив Братского сельского поселения Тихорецкого района (субсидии)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общественно полезных программ общественных объединений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2110110550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2110110550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130,0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130,0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развитию муниципальной службы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2130110490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130,0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2130110490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130,0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территориального общественного самоуправления Братского сельского поселения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47,8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47,8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2140110350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47,8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2140110350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47,8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56,2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56,2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2150110250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56,2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2150110250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56,2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Муниципальная </w:t>
            </w: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 xml:space="preserve">программа Братского сельского поселения Тихорецкого района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«Безопасность населения»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2,6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2,6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2,6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2350110770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2,6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2350110770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2,6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2400000000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2410110750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2410110750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Отдельные непрограммные направления деятельности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5290000000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280,6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распоряжению муниципальным имуществом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5290010180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280,6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5290010180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280,6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8"/>
              </w:rPr>
              <w:t>2.2.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Национальная оборона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461,1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461,1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461,1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первичного воинского учета на территориях, где отсутствую военные комиссариаты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461,1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5250051180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296,6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5250051180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296,6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5250081180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164,5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5250081180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164,5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2.3.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53,3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19,7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19,7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19,7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19,7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2320110090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19,7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2320110090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19,7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33,6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33,6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Укрепление правопорядка, профилактика правонарушений, усиление борьбы с преступностью в Братском сельском поселении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33,6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33,6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2330110660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33,6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2330110660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33,6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Национальная экономика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2991,8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Дорожное хозяйство (дорожные фонды)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2374,3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2374,3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2374,3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2.4.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980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2374,3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2630110420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1841,7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2630110420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1841,7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Мероприятия по повышению безопасности дорожного движения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2630110440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532,6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2630110440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532,6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Связь и информатика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10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614,5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2400000000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614,5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614,5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614,5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2.5.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информатизации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2420110080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614,5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2420110080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614,5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       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2500000000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2510110150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2510110150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Жилищно-коммунальное хозяйство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9010,4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Коммунальное хозяйство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60,3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60,3</w:t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2610100000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57,5</w:t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2610110130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57,5</w:t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2610110130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57,5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2,8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2.6.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2,8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2640110380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2,8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2640110380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2,8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Благоустройство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8935,2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8935,2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8935,2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благоустройству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8935,2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Уличное освещение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2620110040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120,0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2620110040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120,0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Прочие мероприятия по благоустройству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2620110070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8815,2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2620110070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8815,2</w:t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14,9</w:t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14,9</w:t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Содержание и развитие коммунальной инфраструктуры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2610000000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14,9</w:t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2.7</w:t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2610100000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14,9</w:t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Выполнение переданных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2610120080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3,5</w:t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Межбюджетные трансферты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2610120080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500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3,5</w:t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Выполнение переданных полномочий на организацию в границах поселения теплоснабжения населения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2610120090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11,4</w:t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Межбюджетные трансферты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2610120090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500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11,4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Культура, кинематография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5828,2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Культура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5828,2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2800000000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5828,2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5828,2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2.9.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250,6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250,6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242,3</w:t>
            </w:r>
          </w:p>
        </w:tc>
      </w:tr>
      <w:tr>
        <w:trPr>
          <w:trHeight w:val="285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8,2</w:t>
            </w:r>
          </w:p>
        </w:tc>
      </w:tr>
      <w:tr>
        <w:trPr>
          <w:trHeight w:val="285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0,1</w:t>
            </w:r>
          </w:p>
        </w:tc>
      </w:tr>
      <w:tr>
        <w:trPr>
          <w:trHeight w:val="285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клубных учреждений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5577,6</w:t>
            </w:r>
          </w:p>
        </w:tc>
      </w:tr>
      <w:tr>
        <w:trPr>
          <w:trHeight w:val="285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5556,5</w:t>
            </w:r>
          </w:p>
        </w:tc>
      </w:tr>
      <w:tr>
        <w:trPr>
          <w:trHeight w:val="285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4718,5</w:t>
            </w:r>
          </w:p>
        </w:tc>
      </w:tr>
      <w:tr>
        <w:trPr>
          <w:trHeight w:val="285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831,9</w:t>
            </w:r>
          </w:p>
        </w:tc>
      </w:tr>
      <w:tr>
        <w:trPr>
          <w:trHeight w:val="285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6,1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2810611390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21,1</w:t>
            </w:r>
          </w:p>
        </w:tc>
      </w:tr>
      <w:tr>
        <w:trPr>
          <w:trHeight w:val="507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2810611390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21,1</w:t>
            </w:r>
          </w:p>
        </w:tc>
      </w:tr>
      <w:tr>
        <w:trPr>
          <w:trHeight w:val="507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Социальная политика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157,1</w:t>
            </w:r>
          </w:p>
        </w:tc>
      </w:tr>
      <w:tr>
        <w:trPr>
          <w:trHeight w:val="507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Пенсионное обеспечение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157,1</w:t>
            </w:r>
          </w:p>
        </w:tc>
      </w:tr>
      <w:tr>
        <w:trPr>
          <w:trHeight w:val="507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2100000000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157,1</w:t>
            </w:r>
          </w:p>
        </w:tc>
      </w:tr>
      <w:tr>
        <w:trPr>
          <w:trHeight w:val="507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2110000000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157,1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2.10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2110100000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157,1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2110111210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157,1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2110111210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157,1»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>администрации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                                                                   А.П.Матвиец</w:t>
      </w:r>
    </w:p>
    <w:sectPr>
      <w:headerReference w:type="even" r:id="rId2"/>
      <w:headerReference w:type="default" r:id="rId3"/>
      <w:type w:val="nextPage"/>
      <w:pgSz w:orient="landscape" w:w="16838" w:h="11906"/>
      <w:pgMar w:left="1701" w:right="820" w:gutter="0" w:header="709" w:top="1134" w:footer="0" w:bottom="1134"/>
      <w:pgNumType w:fmt="decimal"/>
      <w:formProt w:val="false"/>
      <w:titlePg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1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3990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10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351.85pt;margin-top:0.05pt;width:12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10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222c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 w:customStyle="1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 w:customStyle="1">
    <w:name w:val="Содержимое врезки"/>
    <w:basedOn w:val="Normal"/>
    <w:qFormat/>
    <w:pPr/>
    <w:rPr/>
  </w:style>
  <w:style w:type="paragraph" w:styleId="Style32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3" w:customStyle="1">
    <w:name w:val="Заголовок таблицы"/>
    <w:basedOn w:val="Style32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Application>LibreOffice/7.5.5.2$Windows_X86_64 LibreOffice_project/ca8fe7424262805f223b9a2334bc7181abbcbf5e</Application>
  <AppVersion>15.0000</AppVersion>
  <Pages>10</Pages>
  <Words>1986</Words>
  <Characters>13765</Characters>
  <CharactersWithSpaces>14990</CharactersWithSpaces>
  <Paragraphs>920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2023-10-25T11:47:00Z</dcterms:created>
  <dc:creator>user</dc:creator>
  <dc:description/>
  <dc:language>ru-RU</dc:language>
  <cp:lastModifiedBy/>
  <cp:lastPrinted>2023-12-26T16:48:58Z</cp:lastPrinted>
  <dcterms:modified xsi:type="dcterms:W3CDTF">2023-12-27T08:32:00Z</dcterms:modified>
  <cp:revision>68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