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______________ № ___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6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1"/>
        <w:gridCol w:w="6941"/>
        <w:gridCol w:w="1325"/>
        <w:gridCol w:w="897"/>
        <w:gridCol w:w="1303"/>
        <w:gridCol w:w="1474"/>
        <w:gridCol w:w="1111"/>
        <w:gridCol w:w="1003"/>
      </w:tblGrid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  <w:t>14953,5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>
          <w:trHeight w:val="539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14946,5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5509,0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4118,0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4118,0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4114,2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4114,2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389,2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308,7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308,7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126,3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126,3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2.3.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2260,9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1704,9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1704,9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1704,9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2.4.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1704,9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1404,9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1404,9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546,0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546,0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546,0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546,0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546,0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546,0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666,6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2.5.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661,6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661,6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661,6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661,6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459,6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459,6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2.6.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5705,0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5705,0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5705,0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5705,0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2.7.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842,0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795,0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18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457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2.8.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209,0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2.9.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8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8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 w:customStyle="1">
    <w:name w:val="Содержимое врезки"/>
    <w:basedOn w:val="Normal"/>
    <w:qFormat/>
    <w:pPr/>
    <w:rPr/>
  </w:style>
  <w:style w:type="paragraph" w:styleId="Style3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LibreOffice/7.5.5.2$Windows_X86_64 LibreOffice_project/ca8fe7424262805f223b9a2334bc7181abbcbf5e</Application>
  <AppVersion>15.0000</AppVersion>
  <Pages>12</Pages>
  <Words>2456</Words>
  <Characters>16920</Characters>
  <CharactersWithSpaces>18395</CharactersWithSpaces>
  <Paragraphs>1138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2023-11-07T18:48:00Z</dcterms:created>
  <dc:creator>user</dc:creator>
  <dc:description/>
  <dc:language>ru-RU</dc:language>
  <cp:lastModifiedBy/>
  <cp:lastPrinted>2022-12-13T10:03:00Z</cp:lastPrinted>
  <dcterms:modified xsi:type="dcterms:W3CDTF">2023-11-15T08:37:32Z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